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120" w:before="400" w:line="480" w:lineRule="auto"/>
        <w:jc w:val="center"/>
        <w:rPr>
          <w:rFonts w:ascii="Times New Roman" w:cs="Times New Roman" w:eastAsia="Times New Roman" w:hAnsi="Times New Roman"/>
          <w:b w:val="1"/>
          <w:sz w:val="32"/>
          <w:szCs w:val="32"/>
        </w:rPr>
      </w:pPr>
      <w:bookmarkStart w:colFirst="0" w:colLast="0" w:name="_heading=h.gjdgxs" w:id="0"/>
      <w:bookmarkEnd w:id="0"/>
      <w:r w:rsidDel="00000000" w:rsidR="00000000" w:rsidRPr="00000000">
        <w:rPr>
          <w:b w:val="1"/>
          <w:sz w:val="32"/>
          <w:szCs w:val="32"/>
          <w:rtl w:val="0"/>
        </w:rPr>
        <w:t xml:space="preserve">Supplementary materials </w:t>
      </w:r>
      <w:r w:rsidDel="00000000" w:rsidR="00000000" w:rsidRPr="00000000">
        <w:rPr>
          <w:rtl w:val="0"/>
        </w:rPr>
      </w:r>
    </w:p>
    <w:p w:rsidR="00000000" w:rsidDel="00000000" w:rsidP="00000000" w:rsidRDefault="00000000" w:rsidRPr="00000000" w14:paraId="00000002">
      <w:pPr>
        <w:pStyle w:val="Heading1"/>
        <w:spacing w:line="480" w:lineRule="auto"/>
        <w:ind w:firstLine="0"/>
        <w:jc w:val="both"/>
        <w:rPr>
          <w:sz w:val="24"/>
          <w:szCs w:val="24"/>
        </w:rPr>
      </w:pPr>
      <w:bookmarkStart w:colFirst="0" w:colLast="0" w:name="_heading=h.30j0zll" w:id="1"/>
      <w:bookmarkEnd w:id="1"/>
      <w:r w:rsidDel="00000000" w:rsidR="00000000" w:rsidRPr="00000000">
        <w:rPr>
          <w:b w:val="1"/>
          <w:sz w:val="24"/>
          <w:szCs w:val="24"/>
          <w:rtl w:val="0"/>
        </w:rPr>
        <w:t xml:space="preserve">Figure S1 : Rock-Eval material and methods detailed</w:t>
      </w:r>
      <w:r w:rsidDel="00000000" w:rsidR="00000000" w:rsidRPr="00000000">
        <w:rPr>
          <w:rtl w:val="0"/>
        </w:rPr>
      </w:r>
    </w:p>
    <w:p w:rsidR="00000000" w:rsidDel="00000000" w:rsidP="00000000" w:rsidRDefault="00000000" w:rsidRPr="00000000" w14:paraId="00000003">
      <w:pPr>
        <w:keepNext w:val="0"/>
        <w:keepLines w:val="0"/>
        <w:widowControl w:val="0"/>
        <w:spacing w:after="200" w:before="0" w:line="480" w:lineRule="auto"/>
        <w:rPr>
          <w:color w:val="000000"/>
        </w:rPr>
      </w:pPr>
      <w:r w:rsidDel="00000000" w:rsidR="00000000" w:rsidRPr="00000000">
        <w:rPr>
          <w:color w:val="000000"/>
          <w:rtl w:val="0"/>
        </w:rPr>
        <w:t xml:space="preserve">Rock-Eval® thermal analysis was initially developed for petroleum exploration, but applied to the study of SOM over the last 20 years in order to assess the total Corg and Cinorg concentration (Disnar et al., 2003). For this study, finely ground and dried samples (approximately 65 mg) were analyzed using a Rock-Eval® 6 instrument at the IFPEN laboratory (Rueil-Malmaison), following the procedure described in Behar et al. (2001).  During the first step of pyrolysis, samples were heated from 200 to 650°C with a gradient of 25°C per minute in an inert atmosphere (N</w:t>
      </w:r>
      <w:r w:rsidDel="00000000" w:rsidR="00000000" w:rsidRPr="00000000">
        <w:rPr>
          <w:color w:val="000000"/>
          <w:vertAlign w:val="subscript"/>
          <w:rtl w:val="0"/>
        </w:rPr>
        <w:t xml:space="preserve">2</w:t>
      </w:r>
      <w:r w:rsidDel="00000000" w:rsidR="00000000" w:rsidRPr="00000000">
        <w:rPr>
          <w:color w:val="000000"/>
          <w:rtl w:val="0"/>
        </w:rPr>
        <w:t xml:space="preserve">). Hydrocarbon compounds (HC), CO and CO</w:t>
      </w:r>
      <w:r w:rsidDel="00000000" w:rsidR="00000000" w:rsidRPr="00000000">
        <w:rPr>
          <w:color w:val="000000"/>
          <w:vertAlign w:val="subscript"/>
          <w:rtl w:val="0"/>
        </w:rPr>
        <w:t xml:space="preserve">2</w:t>
      </w:r>
      <w:r w:rsidDel="00000000" w:rsidR="00000000" w:rsidRPr="00000000">
        <w:rPr>
          <w:color w:val="000000"/>
          <w:rtl w:val="0"/>
        </w:rPr>
        <w:t xml:space="preserve"> released by thermal cracking of pyrolysable OM were monitored by the Infrared Detector (IR), respectively. During the oxidation second step, the residues from pyrolysis were heated from 200 to 850°C with a gradient of 25°C per minute under artificial air (N</w:t>
      </w:r>
      <w:r w:rsidDel="00000000" w:rsidR="00000000" w:rsidRPr="00000000">
        <w:rPr>
          <w:color w:val="000000"/>
          <w:vertAlign w:val="subscript"/>
          <w:rtl w:val="0"/>
        </w:rPr>
        <w:t xml:space="preserve">2</w:t>
      </w:r>
      <w:r w:rsidDel="00000000" w:rsidR="00000000" w:rsidRPr="00000000">
        <w:rPr>
          <w:color w:val="000000"/>
          <w:rtl w:val="0"/>
        </w:rPr>
        <w:t xml:space="preserve">:O</w:t>
      </w:r>
      <w:r w:rsidDel="00000000" w:rsidR="00000000" w:rsidRPr="00000000">
        <w:rPr>
          <w:color w:val="000000"/>
          <w:vertAlign w:val="subscript"/>
          <w:rtl w:val="0"/>
        </w:rPr>
        <w:t xml:space="preserve">2</w:t>
      </w:r>
      <w:r w:rsidDel="00000000" w:rsidR="00000000" w:rsidRPr="00000000">
        <w:rPr>
          <w:color w:val="000000"/>
          <w:rtl w:val="0"/>
        </w:rPr>
        <w:t xml:space="preserve"> ratio 80:20). The CO and CO</w:t>
      </w:r>
      <w:r w:rsidDel="00000000" w:rsidR="00000000" w:rsidRPr="00000000">
        <w:rPr>
          <w:color w:val="000000"/>
          <w:vertAlign w:val="subscript"/>
          <w:rtl w:val="0"/>
        </w:rPr>
        <w:t xml:space="preserve">2</w:t>
      </w:r>
      <w:r w:rsidDel="00000000" w:rsidR="00000000" w:rsidRPr="00000000">
        <w:rPr>
          <w:color w:val="000000"/>
          <w:rtl w:val="0"/>
        </w:rPr>
        <w:t xml:space="preserve"> released by combustion of organic compounds were monitored by the IR detector. These measurements provided five thermograms for each sample, showing the evolution of compound release during the pyrolytic and oxidative heating. Using these thermograms, thermolabile (TOC) and thermoresistant (MINC) contents can be calculated by integrating the quantities of hydrocarbon compounds, CO and CO</w:t>
      </w:r>
      <w:r w:rsidDel="00000000" w:rsidR="00000000" w:rsidRPr="00000000">
        <w:rPr>
          <w:color w:val="000000"/>
          <w:vertAlign w:val="subscript"/>
          <w:rtl w:val="0"/>
        </w:rPr>
        <w:t xml:space="preserve">2</w:t>
      </w:r>
      <w:r w:rsidDel="00000000" w:rsidR="00000000" w:rsidRPr="00000000">
        <w:rPr>
          <w:color w:val="000000"/>
          <w:rtl w:val="0"/>
        </w:rPr>
        <w:t xml:space="preserve"> evolved between the determined temperature limits (Lafargue et al., 1998, Behar et al., 2001). In addition,</w:t>
      </w:r>
      <w:r w:rsidDel="00000000" w:rsidR="00000000" w:rsidRPr="00000000">
        <w:rPr>
          <w:b w:val="1"/>
          <w:color w:val="000000"/>
          <w:rtl w:val="0"/>
        </w:rPr>
        <w:t xml:space="preserve"> </w:t>
      </w:r>
      <w:r w:rsidDel="00000000" w:rsidR="00000000" w:rsidRPr="00000000">
        <w:rPr>
          <w:color w:val="000000"/>
          <w:rtl w:val="0"/>
        </w:rPr>
        <w:t xml:space="preserve">the thermograms obtained from the oxidation step can be used to determine the presence or absence of carbonates (peak after 650°C at the CO</w:t>
      </w:r>
      <w:r w:rsidDel="00000000" w:rsidR="00000000" w:rsidRPr="00000000">
        <w:rPr>
          <w:color w:val="000000"/>
          <w:vertAlign w:val="subscript"/>
          <w:rtl w:val="0"/>
        </w:rPr>
        <w:t xml:space="preserve">2</w:t>
      </w:r>
      <w:r w:rsidDel="00000000" w:rsidR="00000000" w:rsidRPr="00000000">
        <w:rPr>
          <w:color w:val="000000"/>
          <w:rtl w:val="0"/>
        </w:rPr>
        <w:t xml:space="preserve"> oxidative thermogram). In the absence of carbonates, Corg is calculated by summing the TOC and MINC parameters. The results obtained for Ctot with Rock-Eval® (Corg+Cinorg) are very close to those obtained with catalytic combustion, which confirms the viability of Rock-Eval® for the study of soil carbon.. S2 (mg HC g</w:t>
      </w:r>
      <w:r w:rsidDel="00000000" w:rsidR="00000000" w:rsidRPr="00000000">
        <w:rPr>
          <w:color w:val="000000"/>
          <w:vertAlign w:val="superscript"/>
          <w:rtl w:val="0"/>
        </w:rPr>
        <w:t xml:space="preserve">-1</w:t>
      </w:r>
      <w:r w:rsidDel="00000000" w:rsidR="00000000" w:rsidRPr="00000000">
        <w:rPr>
          <w:color w:val="000000"/>
          <w:rtl w:val="0"/>
        </w:rPr>
        <w:t xml:space="preserve">) and S3 (mg CO2 g</w:t>
      </w:r>
      <w:r w:rsidDel="00000000" w:rsidR="00000000" w:rsidRPr="00000000">
        <w:rPr>
          <w:color w:val="000000"/>
          <w:vertAlign w:val="superscript"/>
          <w:rtl w:val="0"/>
        </w:rPr>
        <w:t xml:space="preserve">-1</w:t>
      </w:r>
      <w:r w:rsidDel="00000000" w:rsidR="00000000" w:rsidRPr="00000000">
        <w:rPr>
          <w:color w:val="000000"/>
          <w:rtl w:val="0"/>
        </w:rPr>
        <w:t xml:space="preserve">) parameters provide information on the composition of the SOM. S2 corresponds to the quantity of hydrocarbons related to the less mature aliphatic compounds and S3 to the CO</w:t>
      </w:r>
      <w:r w:rsidDel="00000000" w:rsidR="00000000" w:rsidRPr="00000000">
        <w:rPr>
          <w:color w:val="000000"/>
          <w:vertAlign w:val="subscript"/>
          <w:rtl w:val="0"/>
        </w:rPr>
        <w:t xml:space="preserve">2</w:t>
      </w:r>
      <w:r w:rsidDel="00000000" w:rsidR="00000000" w:rsidRPr="00000000">
        <w:rPr>
          <w:color w:val="000000"/>
          <w:rtl w:val="0"/>
        </w:rPr>
        <w:t xml:space="preserve"> released during pyrolysis related to the more mature and stable aromatic part of the SOM (Behar et al., 2001). The index R, between 0 and 1, quantifies the part of the S2 thermogram integrated after 400°C and measures the contribution of the most thermally stable SOM corresponding to the most persistent SOM fraction (Sebag et al., 2016). For these parameters, the analytical error was below 10%.</w:t>
      </w:r>
    </w:p>
    <w:p w:rsidR="00000000" w:rsidDel="00000000" w:rsidP="00000000" w:rsidRDefault="00000000" w:rsidRPr="00000000" w14:paraId="00000004">
      <w:pPr>
        <w:pStyle w:val="Heading1"/>
        <w:spacing w:line="480" w:lineRule="auto"/>
        <w:ind w:firstLine="0"/>
        <w:jc w:val="both"/>
        <w:rPr>
          <w:sz w:val="24"/>
          <w:szCs w:val="24"/>
        </w:rPr>
      </w:pPr>
      <w:bookmarkStart w:colFirst="0" w:colLast="0" w:name="_heading=h.1fob9te" w:id="2"/>
      <w:bookmarkEnd w:id="2"/>
      <w:r w:rsidDel="00000000" w:rsidR="00000000" w:rsidRPr="00000000">
        <w:rPr>
          <w:b w:val="1"/>
          <w:sz w:val="24"/>
          <w:szCs w:val="24"/>
          <w:rtl w:val="0"/>
        </w:rPr>
        <w:t xml:space="preserve">Figure S2 : Ctot catalytic combustion vs Ctot Rock-Eval </w:t>
      </w:r>
      <w:r w:rsidDel="00000000" w:rsidR="00000000" w:rsidRPr="00000000">
        <w:rPr>
          <w:color w:val="040c28"/>
          <w:sz w:val="24"/>
          <w:szCs w:val="24"/>
          <w:rtl w:val="0"/>
        </w:rPr>
        <w:t xml:space="preserve">®</w:t>
      </w:r>
      <w:r w:rsidDel="00000000" w:rsidR="00000000" w:rsidRPr="00000000">
        <w:rPr>
          <w:rtl w:val="0"/>
        </w:rPr>
      </w:r>
    </w:p>
    <w:p w:rsidR="00000000" w:rsidDel="00000000" w:rsidP="00000000" w:rsidRDefault="00000000" w:rsidRPr="00000000" w14:paraId="00000005">
      <w:pPr>
        <w:pStyle w:val="Heading1"/>
        <w:spacing w:line="480" w:lineRule="auto"/>
        <w:jc w:val="both"/>
        <w:rPr/>
      </w:pPr>
      <w:bookmarkStart w:colFirst="0" w:colLast="0" w:name="_heading=h.3znysh7" w:id="3"/>
      <w:bookmarkEnd w:id="3"/>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613410</wp:posOffset>
            </wp:positionH>
            <wp:positionV relativeFrom="paragraph">
              <wp:posOffset>171450</wp:posOffset>
            </wp:positionV>
            <wp:extent cx="4462780" cy="3820795"/>
            <wp:effectExtent b="0" l="0" r="0" t="0"/>
            <wp:wrapSquare wrapText="bothSides" distB="114300" distT="114300" distL="114300" distR="114300"/>
            <wp:docPr id="10" name="image1.png"/>
            <a:graphic>
              <a:graphicData uri="http://schemas.openxmlformats.org/drawingml/2006/picture">
                <pic:pic>
                  <pic:nvPicPr>
                    <pic:cNvPr id="0" name="image1.png"/>
                    <pic:cNvPicPr preferRelativeResize="0"/>
                  </pic:nvPicPr>
                  <pic:blipFill>
                    <a:blip r:embed="rId7"/>
                    <a:srcRect b="906" l="-963" r="15" t="0"/>
                    <a:stretch>
                      <a:fillRect/>
                    </a:stretch>
                  </pic:blipFill>
                  <pic:spPr>
                    <a:xfrm>
                      <a:off x="0" y="0"/>
                      <a:ext cx="4462780" cy="3820795"/>
                    </a:xfrm>
                    <a:prstGeom prst="rect"/>
                    <a:ln/>
                  </pic:spPr>
                </pic:pic>
              </a:graphicData>
            </a:graphic>
          </wp:anchor>
        </w:drawing>
      </w:r>
    </w:p>
    <w:p w:rsidR="00000000" w:rsidDel="00000000" w:rsidP="00000000" w:rsidRDefault="00000000" w:rsidRPr="00000000" w14:paraId="00000006">
      <w:pPr>
        <w:pStyle w:val="Heading1"/>
        <w:spacing w:line="480" w:lineRule="auto"/>
        <w:jc w:val="both"/>
        <w:rPr>
          <w:rFonts w:ascii="Times New Roman" w:cs="Times New Roman" w:eastAsia="Times New Roman" w:hAnsi="Times New Roman"/>
          <w:b w:val="1"/>
          <w:sz w:val="32"/>
          <w:szCs w:val="32"/>
        </w:rPr>
      </w:pPr>
      <w:bookmarkStart w:colFirst="0" w:colLast="0" w:name="_heading=h.2et92p0" w:id="4"/>
      <w:bookmarkEnd w:id="4"/>
      <w:r w:rsidDel="00000000" w:rsidR="00000000" w:rsidRPr="00000000">
        <w:rPr>
          <w:rtl w:val="0"/>
        </w:rPr>
      </w:r>
    </w:p>
    <w:p w:rsidR="00000000" w:rsidDel="00000000" w:rsidP="00000000" w:rsidRDefault="00000000" w:rsidRPr="00000000" w14:paraId="00000007">
      <w:pPr>
        <w:pStyle w:val="Heading1"/>
        <w:spacing w:line="480" w:lineRule="auto"/>
        <w:jc w:val="both"/>
        <w:rPr>
          <w:rFonts w:ascii="Times New Roman" w:cs="Times New Roman" w:eastAsia="Times New Roman" w:hAnsi="Times New Roman"/>
          <w:b w:val="1"/>
          <w:sz w:val="32"/>
          <w:szCs w:val="32"/>
        </w:rPr>
      </w:pPr>
      <w:bookmarkStart w:colFirst="0" w:colLast="0" w:name="_heading=h.tyjcwt" w:id="5"/>
      <w:bookmarkEnd w:id="5"/>
      <w:r w:rsidDel="00000000" w:rsidR="00000000" w:rsidRPr="00000000">
        <w:rPr>
          <w:rtl w:val="0"/>
        </w:rPr>
      </w:r>
    </w:p>
    <w:p w:rsidR="00000000" w:rsidDel="00000000" w:rsidP="00000000" w:rsidRDefault="00000000" w:rsidRPr="00000000" w14:paraId="00000008">
      <w:pPr>
        <w:pStyle w:val="Heading1"/>
        <w:spacing w:line="480" w:lineRule="auto"/>
        <w:jc w:val="both"/>
        <w:rPr>
          <w:rFonts w:ascii="Times New Roman" w:cs="Times New Roman" w:eastAsia="Times New Roman" w:hAnsi="Times New Roman"/>
          <w:b w:val="1"/>
          <w:sz w:val="32"/>
          <w:szCs w:val="32"/>
        </w:rPr>
      </w:pPr>
      <w:bookmarkStart w:colFirst="0" w:colLast="0" w:name="_heading=h.3dy6vkm" w:id="6"/>
      <w:bookmarkEnd w:id="6"/>
      <w:r w:rsidDel="00000000" w:rsidR="00000000" w:rsidRPr="00000000">
        <w:rPr>
          <w:rtl w:val="0"/>
        </w:rPr>
      </w:r>
    </w:p>
    <w:p w:rsidR="00000000" w:rsidDel="00000000" w:rsidP="00000000" w:rsidRDefault="00000000" w:rsidRPr="00000000" w14:paraId="00000009">
      <w:pPr>
        <w:pStyle w:val="Heading1"/>
        <w:spacing w:line="480" w:lineRule="auto"/>
        <w:jc w:val="both"/>
        <w:rPr>
          <w:rFonts w:ascii="Times New Roman" w:cs="Times New Roman" w:eastAsia="Times New Roman" w:hAnsi="Times New Roman"/>
          <w:b w:val="1"/>
          <w:sz w:val="32"/>
          <w:szCs w:val="32"/>
        </w:rPr>
      </w:pPr>
      <w:bookmarkStart w:colFirst="0" w:colLast="0" w:name="_heading=h.1t3h5sf" w:id="7"/>
      <w:bookmarkEnd w:id="7"/>
      <w:r w:rsidDel="00000000" w:rsidR="00000000" w:rsidRPr="00000000">
        <w:rPr>
          <w:rtl w:val="0"/>
        </w:rPr>
      </w:r>
    </w:p>
    <w:p w:rsidR="00000000" w:rsidDel="00000000" w:rsidP="00000000" w:rsidRDefault="00000000" w:rsidRPr="00000000" w14:paraId="0000000A">
      <w:pPr>
        <w:pStyle w:val="Heading1"/>
        <w:spacing w:line="480" w:lineRule="auto"/>
        <w:jc w:val="both"/>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pStyle w:val="Heading1"/>
        <w:ind w:firstLine="0"/>
        <w:jc w:val="both"/>
        <w:rPr>
          <w:sz w:val="24"/>
          <w:szCs w:val="24"/>
        </w:rPr>
      </w:pPr>
      <w:r w:rsidDel="00000000" w:rsidR="00000000" w:rsidRPr="00000000">
        <w:rPr>
          <w:rtl w:val="0"/>
        </w:rPr>
      </w:r>
    </w:p>
    <w:p w:rsidR="00000000" w:rsidDel="00000000" w:rsidP="00000000" w:rsidRDefault="00000000" w:rsidRPr="00000000" w14:paraId="0000000E">
      <w:pPr>
        <w:pStyle w:val="Heading1"/>
        <w:spacing w:after="120" w:before="480" w:line="240" w:lineRule="auto"/>
        <w:ind w:firstLine="0"/>
        <w:rPr/>
      </w:pPr>
      <w:bookmarkStart w:colFirst="0" w:colLast="0" w:name="_heading=h.4d34og8" w:id="8"/>
      <w:bookmarkEnd w:id="8"/>
      <w:r w:rsidDel="00000000" w:rsidR="00000000" w:rsidRPr="00000000">
        <w:rPr>
          <w:b w:val="1"/>
          <w:sz w:val="24"/>
          <w:szCs w:val="24"/>
          <w:rtl w:val="0"/>
        </w:rPr>
        <w:t xml:space="preserve">Figure S3: Calibrated date Shaitan III profil 21-2. </w:t>
      </w:r>
      <w:r w:rsidDel="00000000" w:rsidR="00000000" w:rsidRPr="00000000">
        <w:rPr>
          <w:b w:val="0"/>
          <w:sz w:val="24"/>
          <w:szCs w:val="24"/>
          <w:rtl w:val="0"/>
        </w:rPr>
        <w:t xml:space="preserve">S60 : 60 cm depth, S125 : 125 cm depth, S143 : 143 cm depth, S170 : 170 cm depth</w:t>
      </w:r>
      <w:r w:rsidDel="00000000" w:rsidR="00000000" w:rsidRPr="00000000">
        <w:rPr>
          <w:rtl w:val="0"/>
        </w:rPr>
      </w:r>
    </w:p>
    <w:p w:rsidR="00000000" w:rsidDel="00000000" w:rsidP="00000000" w:rsidRDefault="00000000" w:rsidRPr="00000000" w14:paraId="0000000F">
      <w:pPr>
        <w:spacing w:after="120" w:before="480" w:line="240" w:lineRule="auto"/>
        <w:ind w:firstLine="0"/>
        <w:rPr>
          <w:b w:val="0"/>
          <w:sz w:val="24"/>
          <w:szCs w:val="24"/>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635</wp:posOffset>
            </wp:positionV>
            <wp:extent cx="5731510" cy="1555115"/>
            <wp:effectExtent b="0" l="0" r="0" t="0"/>
            <wp:wrapSquare wrapText="bothSides" distB="0" distT="0" distL="0" distR="0"/>
            <wp:docPr id="7"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731510" cy="1555115"/>
                    </a:xfrm>
                    <a:prstGeom prst="rect"/>
                    <a:ln/>
                  </pic:spPr>
                </pic:pic>
              </a:graphicData>
            </a:graphic>
          </wp:anchor>
        </w:drawing>
      </w:r>
    </w:p>
    <w:p w:rsidR="00000000" w:rsidDel="00000000" w:rsidP="00000000" w:rsidRDefault="00000000" w:rsidRPr="00000000" w14:paraId="00000010">
      <w:pPr>
        <w:pStyle w:val="Heading1"/>
        <w:ind w:firstLine="0"/>
        <w:jc w:val="both"/>
        <w:rPr/>
      </w:pPr>
      <w:bookmarkStart w:colFirst="0" w:colLast="0" w:name="_heading=h.2s8eyo1" w:id="9"/>
      <w:bookmarkEnd w:id="9"/>
      <w:r w:rsidDel="00000000" w:rsidR="00000000" w:rsidRPr="00000000">
        <w:rPr>
          <w:b w:val="1"/>
          <w:sz w:val="24"/>
          <w:szCs w:val="24"/>
          <w:rtl w:val="0"/>
        </w:rPr>
        <w:t xml:space="preserve">Figure S4 : Sample/Upper Crust diagrams Ket</w:t>
      </w:r>
      <w:r w:rsidDel="00000000" w:rsidR="00000000" w:rsidRPr="00000000">
        <w:rPr>
          <w:sz w:val="24"/>
          <w:szCs w:val="24"/>
          <w:rtl w:val="0"/>
        </w:rPr>
        <w:t xml:space="preserve">. A - topsoils, B - subsoils</w:t>
      </w:r>
      <w:r w:rsidDel="00000000" w:rsidR="00000000" w:rsidRPr="00000000">
        <w:rPr>
          <w:rtl w:val="0"/>
        </w:rPr>
      </w:r>
    </w:p>
    <w:p w:rsidR="00000000" w:rsidDel="00000000" w:rsidP="00000000" w:rsidRDefault="00000000" w:rsidRPr="00000000" w14:paraId="00000011">
      <w:pPr>
        <w:pStyle w:val="Heading1"/>
        <w:ind w:firstLine="0"/>
        <w:jc w:val="both"/>
        <w:rPr>
          <w:b w:val="1"/>
          <w:sz w:val="24"/>
          <w:szCs w:val="24"/>
        </w:rPr>
      </w:pPr>
      <w:bookmarkStart w:colFirst="0" w:colLast="0" w:name="_heading=h.5g5rc62xu4j8" w:id="10"/>
      <w:bookmarkEnd w:id="10"/>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132730</wp:posOffset>
            </wp:positionV>
            <wp:extent cx="5731200" cy="2857500"/>
            <wp:effectExtent b="0" l="0" r="0" t="0"/>
            <wp:wrapTopAndBottom distB="114300" distT="114300"/>
            <wp:docPr id="9"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731200" cy="2857500"/>
                    </a:xfrm>
                    <a:prstGeom prst="rect"/>
                    <a:ln/>
                  </pic:spPr>
                </pic:pic>
              </a:graphicData>
            </a:graphic>
          </wp:anchor>
        </w:drawing>
      </w:r>
    </w:p>
    <w:p w:rsidR="00000000" w:rsidDel="00000000" w:rsidP="00000000" w:rsidRDefault="00000000" w:rsidRPr="00000000" w14:paraId="00000012">
      <w:pPr>
        <w:pStyle w:val="Heading1"/>
        <w:ind w:firstLine="0"/>
        <w:jc w:val="both"/>
        <w:rPr>
          <w:b w:val="1"/>
          <w:sz w:val="24"/>
          <w:szCs w:val="24"/>
        </w:rPr>
      </w:pPr>
      <w:bookmarkStart w:colFirst="0" w:colLast="0" w:name="_heading=h.k8otlapa961i" w:id="11"/>
      <w:bookmarkEnd w:id="11"/>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1"/>
        <w:ind w:firstLine="0"/>
        <w:jc w:val="both"/>
        <w:rPr/>
      </w:pPr>
      <w:bookmarkStart w:colFirst="0" w:colLast="0" w:name="_heading=h.17dp8vu" w:id="12"/>
      <w:bookmarkEnd w:id="12"/>
      <w:r w:rsidDel="00000000" w:rsidR="00000000" w:rsidRPr="00000000">
        <w:rPr>
          <w:b w:val="1"/>
          <w:sz w:val="24"/>
          <w:szCs w:val="24"/>
          <w:rtl w:val="0"/>
        </w:rPr>
        <w:t xml:space="preserve">Figure S5 : Sample/Upper Crust diagrams Shaitan III</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17">
      <w:pPr>
        <w:pStyle w:val="Heading1"/>
        <w:spacing w:after="120" w:before="480" w:line="240" w:lineRule="auto"/>
        <w:ind w:firstLine="0"/>
        <w:rPr>
          <w:b w:val="0"/>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-1424</wp:posOffset>
            </wp:positionH>
            <wp:positionV relativeFrom="paragraph">
              <wp:posOffset>219075</wp:posOffset>
            </wp:positionV>
            <wp:extent cx="5731200" cy="2857500"/>
            <wp:effectExtent b="0" l="0" r="0" t="0"/>
            <wp:wrapTopAndBottom distB="114300" distT="114300"/>
            <wp:docPr id="8"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731200" cy="2857500"/>
                    </a:xfrm>
                    <a:prstGeom prst="rect"/>
                    <a:ln/>
                  </pic:spPr>
                </pic:pic>
              </a:graphicData>
            </a:graphic>
          </wp:anchor>
        </w:drawing>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ind w:firstLine="0"/>
        <w:rPr/>
      </w:pPr>
      <w:r w:rsidDel="00000000" w:rsidR="00000000" w:rsidRPr="00000000">
        <w:rPr>
          <w:rtl w:val="0"/>
        </w:rPr>
      </w:r>
    </w:p>
    <w:sectPr>
      <w:pgSz w:h="16838" w:w="11906"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highlight w:val="white"/>
        <w:lang w:val="fr-FR"/>
      </w:rPr>
    </w:rPrDefault>
    <w:pPrDefault>
      <w:pPr>
        <w:spacing w:before="240" w:line="480" w:lineRule="auto"/>
        <w:ind w:firstLine="72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240" w:lineRule="auto"/>
    </w:pPr>
    <w:rPr>
      <w:sz w:val="40"/>
      <w:szCs w:val="40"/>
    </w:rPr>
  </w:style>
  <w:style w:type="paragraph" w:styleId="Heading2">
    <w:name w:val="heading 2"/>
    <w:basedOn w:val="Normal"/>
    <w:next w:val="Normal"/>
    <w:pPr>
      <w:keepNext w:val="1"/>
      <w:keepLines w:val="1"/>
      <w:pageBreakBefore w:val="0"/>
      <w:spacing w:after="120" w:before="360" w:line="240" w:lineRule="auto"/>
    </w:pPr>
    <w:rPr>
      <w:b w:val="0"/>
      <w:sz w:val="32"/>
      <w:szCs w:val="32"/>
    </w:rPr>
  </w:style>
  <w:style w:type="paragraph" w:styleId="Heading3">
    <w:name w:val="heading 3"/>
    <w:basedOn w:val="Normal"/>
    <w:next w:val="Normal"/>
    <w:pPr>
      <w:keepNext w:val="1"/>
      <w:keepLines w:val="1"/>
      <w:pageBreakBefore w:val="0"/>
      <w:spacing w:after="80" w:before="320" w:line="24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240" w:lineRule="auto"/>
    </w:pPr>
    <w:rPr>
      <w:color w:val="666666"/>
      <w:sz w:val="24"/>
      <w:szCs w:val="24"/>
    </w:rPr>
  </w:style>
  <w:style w:type="paragraph" w:styleId="Heading5">
    <w:name w:val="heading 5"/>
    <w:basedOn w:val="Normal"/>
    <w:next w:val="Normal"/>
    <w:pPr>
      <w:keepNext w:val="1"/>
      <w:keepLines w:val="1"/>
      <w:pageBreakBefore w:val="0"/>
      <w:spacing w:after="80" w:before="240" w:line="240" w:lineRule="auto"/>
    </w:pPr>
    <w:rPr>
      <w:color w:val="666666"/>
      <w:sz w:val="22"/>
      <w:szCs w:val="22"/>
    </w:rPr>
  </w:style>
  <w:style w:type="paragraph" w:styleId="Heading6">
    <w:name w:val="heading 6"/>
    <w:basedOn w:val="Normal"/>
    <w:next w:val="Normal"/>
    <w:pPr>
      <w:keepNext w:val="1"/>
      <w:keepLines w:val="1"/>
      <w:pageBreakBefore w:val="0"/>
      <w:spacing w:after="80" w:before="240" w:line="240" w:lineRule="auto"/>
    </w:pPr>
    <w:rPr>
      <w:i w:val="1"/>
      <w:color w:val="666666"/>
      <w:sz w:val="22"/>
      <w:szCs w:val="22"/>
    </w:rPr>
  </w:style>
  <w:style w:type="paragraph" w:styleId="Title">
    <w:name w:val="Title"/>
    <w:basedOn w:val="Normal"/>
    <w:next w:val="Normal"/>
    <w:pPr>
      <w:keepNext w:val="1"/>
      <w:keepLines w:val="1"/>
      <w:pageBreakBefore w:val="0"/>
      <w:spacing w:after="60" w:before="0" w:line="240" w:lineRule="auto"/>
    </w:pPr>
    <w:rPr>
      <w:sz w:val="52"/>
      <w:szCs w:val="52"/>
    </w:rPr>
  </w:style>
  <w:style w:type="paragraph" w:styleId="Normal">
    <w:name w:val="Normal"/>
    <w:qFormat w:val="1"/>
    <w:pPr>
      <w:widowControl w:val="1"/>
      <w:suppressAutoHyphens w:val="1"/>
      <w:bidi w:val="0"/>
      <w:spacing w:after="0" w:before="240" w:line="480" w:lineRule="auto"/>
      <w:ind w:firstLine="720"/>
      <w:jc w:val="both"/>
    </w:pPr>
    <w:rPr>
      <w:rFonts w:ascii="Times New Roman" w:cs="Lucida Sans" w:eastAsia="NSimSun" w:hAnsi="Times New Roman"/>
      <w:color w:val="auto"/>
      <w:kern w:val="0"/>
      <w:sz w:val="24"/>
      <w:szCs w:val="24"/>
      <w:highlight w:val="white"/>
      <w:lang w:bidi="hi-IN" w:eastAsia="zh-CN" w:val="fr-FR"/>
    </w:rPr>
  </w:style>
  <w:style w:type="paragraph" w:styleId="Titre1">
    <w:name w:val="Heading 1"/>
    <w:basedOn w:val="LOnormal"/>
    <w:next w:val="LOnormal"/>
    <w:qFormat w:val="1"/>
    <w:pPr>
      <w:keepNext w:val="1"/>
      <w:keepLines w:val="1"/>
      <w:pageBreakBefore w:val="0"/>
      <w:spacing w:after="120" w:before="400" w:line="240" w:lineRule="auto"/>
    </w:pPr>
    <w:rPr>
      <w:sz w:val="40"/>
      <w:szCs w:val="40"/>
    </w:rPr>
  </w:style>
  <w:style w:type="paragraph" w:styleId="Titre2">
    <w:name w:val="Heading 2"/>
    <w:basedOn w:val="LOnormal"/>
    <w:next w:val="LOnormal"/>
    <w:qFormat w:val="1"/>
    <w:pPr>
      <w:keepNext w:val="1"/>
      <w:keepLines w:val="1"/>
      <w:pageBreakBefore w:val="0"/>
      <w:spacing w:after="120" w:before="360" w:line="240" w:lineRule="auto"/>
    </w:pPr>
    <w:rPr>
      <w:b w:val="0"/>
      <w:sz w:val="32"/>
      <w:szCs w:val="32"/>
    </w:rPr>
  </w:style>
  <w:style w:type="paragraph" w:styleId="Titre3">
    <w:name w:val="Heading 3"/>
    <w:basedOn w:val="LOnormal"/>
    <w:next w:val="LOnormal"/>
    <w:qFormat w:val="1"/>
    <w:pPr>
      <w:keepNext w:val="1"/>
      <w:keepLines w:val="1"/>
      <w:pageBreakBefore w:val="0"/>
      <w:spacing w:after="80" w:before="320" w:line="240" w:lineRule="auto"/>
    </w:pPr>
    <w:rPr>
      <w:b w:val="0"/>
      <w:color w:val="434343"/>
      <w:sz w:val="28"/>
      <w:szCs w:val="28"/>
    </w:rPr>
  </w:style>
  <w:style w:type="paragraph" w:styleId="Titre4">
    <w:name w:val="Heading 4"/>
    <w:basedOn w:val="LOnormal"/>
    <w:next w:val="LOnormal"/>
    <w:qFormat w:val="1"/>
    <w:pPr>
      <w:keepNext w:val="1"/>
      <w:keepLines w:val="1"/>
      <w:pageBreakBefore w:val="0"/>
      <w:spacing w:after="80" w:before="280" w:line="240" w:lineRule="auto"/>
    </w:pPr>
    <w:rPr>
      <w:color w:val="666666"/>
      <w:sz w:val="24"/>
      <w:szCs w:val="24"/>
    </w:rPr>
  </w:style>
  <w:style w:type="paragraph" w:styleId="Titre5">
    <w:name w:val="Heading 5"/>
    <w:basedOn w:val="LOnormal"/>
    <w:next w:val="LOnormal"/>
    <w:qFormat w:val="1"/>
    <w:pPr>
      <w:keepNext w:val="1"/>
      <w:keepLines w:val="1"/>
      <w:pageBreakBefore w:val="0"/>
      <w:spacing w:after="80" w:before="240" w:line="240" w:lineRule="auto"/>
    </w:pPr>
    <w:rPr>
      <w:color w:val="666666"/>
      <w:sz w:val="22"/>
      <w:szCs w:val="22"/>
    </w:rPr>
  </w:style>
  <w:style w:type="paragraph" w:styleId="Titre6">
    <w:name w:val="Heading 6"/>
    <w:basedOn w:val="LOnormal"/>
    <w:next w:val="LOnormal"/>
    <w:qFormat w:val="1"/>
    <w:pPr>
      <w:keepNext w:val="1"/>
      <w:keepLines w:val="1"/>
      <w:pageBreakBefore w:val="0"/>
      <w:spacing w:after="80" w:before="240" w:line="240" w:lineRule="auto"/>
    </w:pPr>
    <w:rPr>
      <w:i w:val="1"/>
      <w:color w:val="666666"/>
      <w:sz w:val="22"/>
      <w:szCs w:val="22"/>
    </w:rPr>
  </w:style>
  <w:style w:type="paragraph" w:styleId="Titre">
    <w:name w:val="Titre"/>
    <w:basedOn w:val="Normal"/>
    <w:next w:val="Corpsdetexte"/>
    <w:qFormat w:val="1"/>
    <w:pPr>
      <w:keepNext w:val="1"/>
      <w:spacing w:after="120" w:before="240"/>
    </w:pPr>
    <w:rPr>
      <w:rFonts w:ascii="Liberation Sans" w:cs="Lucida Sans" w:eastAsia="Microsoft YaHei" w:hAnsi="Liberation Sans"/>
      <w:sz w:val="28"/>
      <w:szCs w:val="28"/>
    </w:rPr>
  </w:style>
  <w:style w:type="paragraph" w:styleId="Corpsdetexte">
    <w:name w:val="Body Text"/>
    <w:basedOn w:val="Normal"/>
    <w:pPr>
      <w:spacing w:after="140" w:before="0" w:line="276" w:lineRule="auto"/>
    </w:pPr>
    <w:rPr/>
  </w:style>
  <w:style w:type="paragraph" w:styleId="Liste">
    <w:name w:val="List"/>
    <w:basedOn w:val="Corpsdetexte"/>
    <w:pPr/>
    <w:rPr>
      <w:rFonts w:cs="Lucida Sans"/>
    </w:rPr>
  </w:style>
  <w:style w:type="paragraph" w:styleId="Lgende">
    <w:name w:val="Caption"/>
    <w:basedOn w:val="Normal"/>
    <w:qFormat w:val="1"/>
    <w:pPr>
      <w:suppressLineNumbers w:val="1"/>
      <w:spacing w:after="120" w:before="120"/>
    </w:pPr>
    <w:rPr>
      <w:rFonts w:cs="Lucida Sans"/>
      <w:i w:val="1"/>
      <w:iCs w:val="1"/>
      <w:sz w:val="24"/>
      <w:szCs w:val="24"/>
    </w:rPr>
  </w:style>
  <w:style w:type="paragraph" w:styleId="Index">
    <w:name w:val="Index"/>
    <w:basedOn w:val="Normal"/>
    <w:qFormat w:val="1"/>
    <w:pPr>
      <w:suppressLineNumbers w:val="1"/>
    </w:pPr>
    <w:rPr>
      <w:rFonts w:cs="Lucida Sans"/>
      <w:lang w:bidi="zxx" w:eastAsia="zxx" w:val="zxx"/>
    </w:rPr>
  </w:style>
  <w:style w:type="paragraph" w:styleId="LOnormal" w:default="1">
    <w:name w:val="LO-normal"/>
    <w:qFormat w:val="1"/>
    <w:pPr>
      <w:widowControl w:val="1"/>
      <w:suppressAutoHyphens w:val="1"/>
      <w:bidi w:val="0"/>
      <w:spacing w:after="0" w:before="240" w:line="480" w:lineRule="auto"/>
      <w:ind w:firstLine="720"/>
      <w:jc w:val="both"/>
    </w:pPr>
    <w:rPr>
      <w:rFonts w:ascii="Times New Roman" w:cs="Lucida Sans" w:eastAsia="NSimSun" w:hAnsi="Times New Roman"/>
      <w:color w:val="auto"/>
      <w:kern w:val="0"/>
      <w:sz w:val="24"/>
      <w:szCs w:val="24"/>
      <w:highlight w:val="white"/>
      <w:lang w:bidi="hi-IN" w:eastAsia="zh-CN" w:val="fr-FR"/>
    </w:rPr>
  </w:style>
  <w:style w:type="paragraph" w:styleId="Titreprincipal">
    <w:name w:val="Title"/>
    <w:basedOn w:val="LOnormal"/>
    <w:next w:val="LOnormal"/>
    <w:qFormat w:val="1"/>
    <w:pPr>
      <w:keepNext w:val="1"/>
      <w:keepLines w:val="1"/>
      <w:pageBreakBefore w:val="0"/>
      <w:spacing w:after="60" w:before="0" w:line="240" w:lineRule="auto"/>
    </w:pPr>
    <w:rPr>
      <w:sz w:val="52"/>
      <w:szCs w:val="52"/>
    </w:rPr>
  </w:style>
  <w:style w:type="paragraph" w:styleId="Soustitre">
    <w:name w:val="Subtitle"/>
    <w:basedOn w:val="LOnormal"/>
    <w:next w:val="LOnormal"/>
    <w:qFormat w:val="1"/>
    <w:pPr>
      <w:keepNext w:val="1"/>
      <w:keepLines w:val="1"/>
      <w:pageBreakBefore w:val="0"/>
      <w:spacing w:after="320" w:before="0" w:line="240" w:lineRule="auto"/>
    </w:pPr>
    <w:rPr>
      <w:rFonts w:ascii="Arial" w:cs="Arial" w:eastAsia="Arial" w:hAnsi="Arial"/>
      <w:i w:val="0"/>
      <w:color w:val="666666"/>
      <w:sz w:val="30"/>
      <w:szCs w:val="30"/>
    </w:rPr>
  </w:style>
  <w:style w:type="table" w:styleId="TableNormal" w:default="1">
    <w:name w:val="Table Normal"/>
  </w:style>
  <w:style w:type="paragraph" w:styleId="Subtitle">
    <w:name w:val="Subtitle"/>
    <w:basedOn w:val="Normal"/>
    <w:next w:val="Normal"/>
    <w:pPr>
      <w:keepNext w:val="1"/>
      <w:keepLines w:val="1"/>
      <w:pageBreakBefore w:val="0"/>
      <w:spacing w:after="320" w:before="0" w:line="24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2.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ynEYPryC+Pl4M8PZ0F/bHHY9NA==">CgMxLjAyCGguZ2pkZ3hzMgloLjMwajB6bGwyCWguMWZvYjl0ZTIJaC4zem55c2g3MgloLjJldDkycDAyCGgudHlqY3d0MgloLjNkeTZ2a20yCWguMXQzaDVzZjIJaC40ZDM0b2c4MgloLjJzOGV5bzEyDmguNWc1cmM2Mnh1NGo4Mg5oLms4b3RsYXBhOTYxaTIJaC4xN2RwOHZ1OAByITFDeXpvSzNTaWpYd3JQa0M5b1o2Wkt1MWhFTmNkN3RrdQ==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file>